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B241E" w14:textId="764D7CFF" w:rsidR="008B17BC" w:rsidRDefault="008B17BC" w:rsidP="008B17BC">
      <w:pPr>
        <w:spacing w:after="120"/>
        <w:jc w:val="center"/>
        <w:rPr>
          <w:rFonts w:ascii="Arial" w:eastAsia="Arial" w:hAnsi="Arial"/>
          <w:b/>
          <w:lang w:val="pt-BR"/>
        </w:rPr>
      </w:pPr>
    </w:p>
    <w:p w14:paraId="6A370751" w14:textId="77777777" w:rsidR="008B17BC" w:rsidRDefault="008B17BC" w:rsidP="008B17BC">
      <w:pPr>
        <w:spacing w:after="120"/>
        <w:jc w:val="center"/>
        <w:rPr>
          <w:rFonts w:ascii="Arial" w:eastAsia="Arial" w:hAnsi="Arial"/>
          <w:b/>
          <w:lang w:val="pt-BR"/>
        </w:rPr>
      </w:pPr>
    </w:p>
    <w:p w14:paraId="40F55C39" w14:textId="62657B46" w:rsidR="008B17BC" w:rsidRDefault="008B17BC" w:rsidP="008B17BC">
      <w:pPr>
        <w:spacing w:after="120"/>
        <w:jc w:val="center"/>
        <w:rPr>
          <w:rFonts w:ascii="Arial" w:eastAsia="Arial" w:hAnsi="Arial"/>
          <w:b/>
          <w:lang w:val="pt-BR"/>
        </w:rPr>
      </w:pPr>
      <w:r w:rsidRPr="00AD0EB1">
        <w:rPr>
          <w:rFonts w:ascii="Arial" w:eastAsia="Arial" w:hAnsi="Arial"/>
          <w:b/>
          <w:lang w:val="pt-BR"/>
        </w:rPr>
        <w:t>PROPRIEDADES CLINIMÉTRICAS DO TESTE KEPT PARA AVALIAÇÃO DO DÉFICIT DE HIPEREXTENSÃO DO JOELHO</w:t>
      </w:r>
    </w:p>
    <w:p w14:paraId="68FE3484" w14:textId="77777777" w:rsidR="008B17BC" w:rsidRDefault="008B17BC" w:rsidP="008B17BC">
      <w:pPr>
        <w:spacing w:after="120"/>
        <w:jc w:val="center"/>
        <w:rPr>
          <w:rFonts w:ascii="Arial" w:eastAsia="Arial" w:hAnsi="Arial"/>
          <w:b/>
          <w:lang w:val="pt-BR"/>
        </w:rPr>
      </w:pPr>
    </w:p>
    <w:p w14:paraId="3AB1F732" w14:textId="77777777" w:rsidR="008B17BC" w:rsidRPr="00AD0EB1" w:rsidRDefault="008B17BC" w:rsidP="008B17BC">
      <w:pPr>
        <w:spacing w:after="120" w:line="360" w:lineRule="auto"/>
        <w:ind w:left="284" w:right="-1"/>
        <w:jc w:val="center"/>
        <w:rPr>
          <w:lang w:val="pt-BR"/>
        </w:rPr>
      </w:pPr>
    </w:p>
    <w:p w14:paraId="1FDFD0D9" w14:textId="77777777" w:rsidR="008B17BC" w:rsidRPr="00AD0EB1" w:rsidRDefault="008B17BC" w:rsidP="008B17BC">
      <w:pPr>
        <w:spacing w:after="0" w:line="360" w:lineRule="auto"/>
        <w:ind w:left="284" w:right="-1"/>
        <w:jc w:val="both"/>
        <w:rPr>
          <w:lang w:val="pt-BR"/>
        </w:rPr>
      </w:pPr>
      <w:r w:rsidRPr="00AD0EB1">
        <w:rPr>
          <w:rFonts w:ascii="Arial" w:eastAsia="Arial" w:hAnsi="Arial"/>
          <w:b/>
          <w:sz w:val="20"/>
          <w:lang w:val="pt-BR"/>
        </w:rPr>
        <w:t>Introdução:</w:t>
      </w:r>
      <w:r w:rsidRPr="00AD0EB1">
        <w:rPr>
          <w:rFonts w:ascii="Arial" w:eastAsia="Arial" w:hAnsi="Arial"/>
          <w:sz w:val="20"/>
          <w:lang w:val="pt-BR"/>
        </w:rPr>
        <w:t xml:space="preserve"> O déficit de extensão do joelho é uma alteração frequente após lesões e procedimentos cirúrgicos, podendo comprometer a função e a reabilitação. O </w:t>
      </w:r>
      <w:proofErr w:type="spellStart"/>
      <w:r w:rsidRPr="00AD0EB1">
        <w:rPr>
          <w:rFonts w:ascii="Arial" w:eastAsia="Arial" w:hAnsi="Arial"/>
          <w:sz w:val="20"/>
          <w:lang w:val="pt-BR"/>
        </w:rPr>
        <w:t>Knee</w:t>
      </w:r>
      <w:proofErr w:type="spellEnd"/>
      <w:r w:rsidRPr="00AD0EB1">
        <w:rPr>
          <w:rFonts w:ascii="Arial" w:eastAsia="Arial" w:hAnsi="Arial"/>
          <w:sz w:val="20"/>
          <w:lang w:val="pt-BR"/>
        </w:rPr>
        <w:t xml:space="preserve"> </w:t>
      </w:r>
      <w:proofErr w:type="spellStart"/>
      <w:r w:rsidRPr="00AD0EB1">
        <w:rPr>
          <w:rFonts w:ascii="Arial" w:eastAsia="Arial" w:hAnsi="Arial"/>
          <w:sz w:val="20"/>
          <w:lang w:val="pt-BR"/>
        </w:rPr>
        <w:t>Extension</w:t>
      </w:r>
      <w:proofErr w:type="spellEnd"/>
      <w:r w:rsidRPr="00AD0EB1">
        <w:rPr>
          <w:rFonts w:ascii="Arial" w:eastAsia="Arial" w:hAnsi="Arial"/>
          <w:sz w:val="20"/>
          <w:lang w:val="pt-BR"/>
        </w:rPr>
        <w:t xml:space="preserve"> </w:t>
      </w:r>
      <w:proofErr w:type="spellStart"/>
      <w:r w:rsidRPr="00AD0EB1">
        <w:rPr>
          <w:rFonts w:ascii="Arial" w:eastAsia="Arial" w:hAnsi="Arial"/>
          <w:sz w:val="20"/>
          <w:lang w:val="pt-BR"/>
        </w:rPr>
        <w:t>Prone</w:t>
      </w:r>
      <w:proofErr w:type="spellEnd"/>
      <w:r w:rsidRPr="00AD0EB1">
        <w:rPr>
          <w:rFonts w:ascii="Arial" w:eastAsia="Arial" w:hAnsi="Arial"/>
          <w:sz w:val="20"/>
          <w:lang w:val="pt-BR"/>
        </w:rPr>
        <w:t xml:space="preserve"> Test (KEPT) foi desenvolvido como uma alternativa simples e de baixo custo para mensurar diretamente diferenças de hiperextensão entre os membros.</w:t>
      </w:r>
    </w:p>
    <w:p w14:paraId="685BDC03" w14:textId="77777777" w:rsidR="008B17BC" w:rsidRPr="00AD0EB1" w:rsidRDefault="008B17BC" w:rsidP="008B17BC">
      <w:pPr>
        <w:spacing w:after="0" w:line="360" w:lineRule="auto"/>
        <w:ind w:left="284" w:right="-1"/>
        <w:jc w:val="both"/>
        <w:rPr>
          <w:lang w:val="pt-BR"/>
        </w:rPr>
      </w:pPr>
      <w:r w:rsidRPr="00AD0EB1">
        <w:rPr>
          <w:rFonts w:ascii="Arial" w:eastAsia="Arial" w:hAnsi="Arial"/>
          <w:b/>
          <w:sz w:val="20"/>
          <w:lang w:val="pt-BR"/>
        </w:rPr>
        <w:t>Objetivo:</w:t>
      </w:r>
      <w:r w:rsidRPr="00AD0EB1">
        <w:rPr>
          <w:rFonts w:ascii="Arial" w:eastAsia="Arial" w:hAnsi="Arial"/>
          <w:sz w:val="20"/>
          <w:lang w:val="pt-BR"/>
        </w:rPr>
        <w:t xml:space="preserve"> Analisar a validade concorrente e a confiabilidade do KEPT na avaliação do déficit de hiperextensão do joelho.</w:t>
      </w:r>
    </w:p>
    <w:p w14:paraId="27144E5C" w14:textId="77777777" w:rsidR="008B17BC" w:rsidRPr="00AD0EB1" w:rsidRDefault="008B17BC" w:rsidP="008B17BC">
      <w:pPr>
        <w:spacing w:after="0" w:line="360" w:lineRule="auto"/>
        <w:ind w:left="284" w:right="-1"/>
        <w:jc w:val="both"/>
        <w:rPr>
          <w:lang w:val="pt-BR"/>
        </w:rPr>
      </w:pPr>
      <w:r w:rsidRPr="00AD0EB1">
        <w:rPr>
          <w:rFonts w:ascii="Arial" w:eastAsia="Arial" w:hAnsi="Arial"/>
          <w:b/>
          <w:sz w:val="20"/>
          <w:lang w:val="pt-BR"/>
        </w:rPr>
        <w:t>Métodos:</w:t>
      </w:r>
      <w:r w:rsidRPr="00AD0EB1">
        <w:rPr>
          <w:rFonts w:ascii="Arial" w:eastAsia="Arial" w:hAnsi="Arial"/>
          <w:sz w:val="20"/>
          <w:lang w:val="pt-BR"/>
        </w:rPr>
        <w:t xml:space="preserve"> Estudo transversal de confiabilidade com 100 participantes, sendo 52 indivíduos saudáveis e 48 com histórico de lesão no joelho. Dois examinadores realizaram avaliações por </w:t>
      </w:r>
      <w:proofErr w:type="spellStart"/>
      <w:r w:rsidRPr="00AD0EB1">
        <w:rPr>
          <w:rFonts w:ascii="Arial" w:eastAsia="Arial" w:hAnsi="Arial"/>
          <w:sz w:val="20"/>
          <w:lang w:val="pt-BR"/>
        </w:rPr>
        <w:t>goniometria</w:t>
      </w:r>
      <w:proofErr w:type="spellEnd"/>
      <w:r w:rsidRPr="00AD0EB1">
        <w:rPr>
          <w:rFonts w:ascii="Arial" w:eastAsia="Arial" w:hAnsi="Arial"/>
          <w:sz w:val="20"/>
          <w:lang w:val="pt-BR"/>
        </w:rPr>
        <w:t xml:space="preserve">, </w:t>
      </w:r>
      <w:proofErr w:type="spellStart"/>
      <w:r w:rsidRPr="00AD0EB1">
        <w:rPr>
          <w:rFonts w:ascii="Arial" w:eastAsia="Arial" w:hAnsi="Arial"/>
          <w:sz w:val="20"/>
          <w:lang w:val="pt-BR"/>
        </w:rPr>
        <w:t>inclinometria</w:t>
      </w:r>
      <w:proofErr w:type="spellEnd"/>
      <w:r w:rsidRPr="00AD0EB1">
        <w:rPr>
          <w:rFonts w:ascii="Arial" w:eastAsia="Arial" w:hAnsi="Arial"/>
          <w:sz w:val="20"/>
          <w:lang w:val="pt-BR"/>
        </w:rPr>
        <w:t xml:space="preserve"> tibial, fotogrametria nas posições supina e prona e KEPT. A confiabilidade foi analisada pelo coeficiente de correlação intraclasse (ICC), e a validade concorrente pelo coeficiente de correlação de Pearson.</w:t>
      </w:r>
    </w:p>
    <w:p w14:paraId="510EEF25" w14:textId="77777777" w:rsidR="008B17BC" w:rsidRPr="00AD0EB1" w:rsidRDefault="008B17BC" w:rsidP="008B17BC">
      <w:pPr>
        <w:spacing w:after="0" w:line="360" w:lineRule="auto"/>
        <w:ind w:left="284" w:right="-1"/>
        <w:jc w:val="both"/>
        <w:rPr>
          <w:lang w:val="pt-BR"/>
        </w:rPr>
      </w:pPr>
      <w:r w:rsidRPr="00AD0EB1">
        <w:rPr>
          <w:rFonts w:ascii="Arial" w:eastAsia="Arial" w:hAnsi="Arial"/>
          <w:b/>
          <w:sz w:val="20"/>
          <w:lang w:val="pt-BR"/>
        </w:rPr>
        <w:t>Resultados:</w:t>
      </w:r>
      <w:r w:rsidRPr="00AD0EB1">
        <w:rPr>
          <w:rFonts w:ascii="Arial" w:eastAsia="Arial" w:hAnsi="Arial"/>
          <w:sz w:val="20"/>
          <w:lang w:val="pt-BR"/>
        </w:rPr>
        <w:t xml:space="preserve"> O KEPT apresentou confiabilidade de boa a excelente, com ICC entre 0,85 e 0,92. O erro padrão de medida variou de 0,47° a 1,30°, e a mudança mínima detectável de 2,35° a 6,5°. A validade concorrente variou de moderada a boa, com correlações entre 0,54 e 0,78. A fotogrametria em posição prona apresentou as maiores correlações com o KEPT.</w:t>
      </w:r>
    </w:p>
    <w:p w14:paraId="44F94278" w14:textId="77777777" w:rsidR="008B17BC" w:rsidRPr="00AD0EB1" w:rsidRDefault="008B17BC" w:rsidP="008B17BC">
      <w:pPr>
        <w:spacing w:after="0" w:line="360" w:lineRule="auto"/>
        <w:ind w:left="284" w:right="-1"/>
        <w:jc w:val="both"/>
        <w:rPr>
          <w:lang w:val="pt-BR"/>
        </w:rPr>
      </w:pPr>
      <w:r w:rsidRPr="00AD0EB1">
        <w:rPr>
          <w:rFonts w:ascii="Arial" w:eastAsia="Arial" w:hAnsi="Arial"/>
          <w:b/>
          <w:sz w:val="20"/>
          <w:lang w:val="pt-BR"/>
        </w:rPr>
        <w:t>Conclusão:</w:t>
      </w:r>
      <w:r w:rsidRPr="00AD0EB1">
        <w:rPr>
          <w:rFonts w:ascii="Arial" w:eastAsia="Arial" w:hAnsi="Arial"/>
          <w:sz w:val="20"/>
          <w:lang w:val="pt-BR"/>
        </w:rPr>
        <w:t xml:space="preserve"> O KEPT demonstrou validade e confiabilidade adequadas para avaliar o déficit de hiperextensão do joelho em indivíduos saudáveis e em pessoas com histórico de lesão no joelho.</w:t>
      </w:r>
    </w:p>
    <w:p w14:paraId="2977E23E" w14:textId="77777777" w:rsidR="008B17BC" w:rsidRPr="00AD0EB1" w:rsidRDefault="008B17BC" w:rsidP="008B17BC">
      <w:pPr>
        <w:spacing w:before="120" w:after="0" w:line="360" w:lineRule="auto"/>
        <w:ind w:left="284" w:right="-1"/>
        <w:jc w:val="both"/>
        <w:rPr>
          <w:lang w:val="pt-BR"/>
        </w:rPr>
      </w:pPr>
      <w:r w:rsidRPr="00AD0EB1">
        <w:rPr>
          <w:rFonts w:ascii="Arial" w:eastAsia="Arial" w:hAnsi="Arial"/>
          <w:b/>
          <w:sz w:val="20"/>
          <w:lang w:val="pt-BR"/>
        </w:rPr>
        <w:t xml:space="preserve">Palavras-chave: </w:t>
      </w:r>
      <w:r w:rsidRPr="00AD0EB1">
        <w:rPr>
          <w:rFonts w:ascii="Arial" w:eastAsia="Arial" w:hAnsi="Arial"/>
          <w:sz w:val="20"/>
          <w:lang w:val="pt-BR"/>
        </w:rPr>
        <w:t>Articulação do Joelho; Amplitude de Movimento Articular; Reprodutibilidade dos Testes; Avaliação de Resultados em Cuidados de Saúde.</w:t>
      </w:r>
    </w:p>
    <w:p w14:paraId="77099430" w14:textId="77777777" w:rsidR="00F073AB" w:rsidRPr="009C42FA" w:rsidRDefault="00F073AB" w:rsidP="009C42FA">
      <w:pPr>
        <w:pStyle w:val="Corpodetexto"/>
        <w:spacing w:before="0" w:after="0"/>
        <w:jc w:val="center"/>
        <w:rPr>
          <w:rFonts w:ascii="Calibri" w:hAnsi="Calibri" w:cs="Calibri"/>
          <w:color w:val="000000" w:themeColor="text1"/>
          <w:sz w:val="22"/>
          <w:szCs w:val="22"/>
          <w:lang w:val="pt-BR"/>
        </w:rPr>
      </w:pPr>
    </w:p>
    <w:sectPr w:rsidR="00F073AB" w:rsidRPr="009C42FA" w:rsidSect="008B17BC">
      <w:headerReference w:type="default" r:id="rId7"/>
      <w:footnotePr>
        <w:numRestart w:val="eachSect"/>
      </w:footnotePr>
      <w:pgSz w:w="11906" w:h="16838"/>
      <w:pgMar w:top="3335" w:right="1701" w:bottom="172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11ED9" w14:textId="77777777" w:rsidR="00FC775A" w:rsidRDefault="00FC775A" w:rsidP="009C42FA">
      <w:pPr>
        <w:spacing w:after="0"/>
      </w:pPr>
      <w:r>
        <w:separator/>
      </w:r>
    </w:p>
  </w:endnote>
  <w:endnote w:type="continuationSeparator" w:id="0">
    <w:p w14:paraId="4E11E68A" w14:textId="77777777" w:rsidR="00FC775A" w:rsidRDefault="00FC775A" w:rsidP="009C42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83071" w14:textId="77777777" w:rsidR="00FC775A" w:rsidRDefault="00FC775A" w:rsidP="009C42FA">
      <w:pPr>
        <w:spacing w:after="0"/>
      </w:pPr>
      <w:r>
        <w:separator/>
      </w:r>
    </w:p>
  </w:footnote>
  <w:footnote w:type="continuationSeparator" w:id="0">
    <w:p w14:paraId="7C3AE998" w14:textId="77777777" w:rsidR="00FC775A" w:rsidRDefault="00FC775A" w:rsidP="009C42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CC54F" w14:textId="29D6EF95" w:rsidR="009C42FA" w:rsidRDefault="009C42FA">
    <w:pPr>
      <w:pStyle w:val="Cabealho"/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35B1F7D4" wp14:editId="493CE8C9">
          <wp:simplePos x="0" y="0"/>
          <wp:positionH relativeFrom="column">
            <wp:posOffset>-1383665</wp:posOffset>
          </wp:positionH>
          <wp:positionV relativeFrom="paragraph">
            <wp:posOffset>-815014</wp:posOffset>
          </wp:positionV>
          <wp:extent cx="7763933" cy="11190771"/>
          <wp:effectExtent l="0" t="0" r="0" b="0"/>
          <wp:wrapNone/>
          <wp:docPr id="802133360" name="Imagem 1" descr="Placa de computador com texto preto sobre fundo bran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2133360" name="Imagem 1" descr="Placa de computador com texto preto sobre fundo branc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933" cy="11190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898A1DF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EBA6A8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08A86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91537495">
    <w:abstractNumId w:val="0"/>
  </w:num>
  <w:num w:numId="2" w16cid:durableId="1082145077">
    <w:abstractNumId w:val="1"/>
  </w:num>
  <w:num w:numId="3" w16cid:durableId="2091344090">
    <w:abstractNumId w:val="1"/>
  </w:num>
  <w:num w:numId="4" w16cid:durableId="2089035141">
    <w:abstractNumId w:val="1"/>
  </w:num>
  <w:num w:numId="5" w16cid:durableId="20457106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8586480">
    <w:abstractNumId w:val="1"/>
  </w:num>
  <w:num w:numId="7" w16cid:durableId="1829784899">
    <w:abstractNumId w:val="1"/>
  </w:num>
  <w:num w:numId="8" w16cid:durableId="1497912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8193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AB"/>
    <w:rsid w:val="008B17BC"/>
    <w:rsid w:val="00941DE9"/>
    <w:rsid w:val="009B518B"/>
    <w:rsid w:val="009C42FA"/>
    <w:rsid w:val="00BD48AF"/>
    <w:rsid w:val="00DD1CC8"/>
    <w:rsid w:val="00E33CA8"/>
    <w:rsid w:val="00F073AB"/>
    <w:rsid w:val="00FC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3293D"/>
  <w15:docId w15:val="{CEE186E5-5D5B-1D4D-90D4-55512DC6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MenoPendente">
    <w:name w:val="Unresolved Mention"/>
    <w:basedOn w:val="Fontepargpadro"/>
    <w:uiPriority w:val="99"/>
    <w:semiHidden/>
    <w:unhideWhenUsed/>
    <w:rsid w:val="00941DE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rsid w:val="009C42FA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9C42FA"/>
  </w:style>
  <w:style w:type="paragraph" w:styleId="Rodap">
    <w:name w:val="footer"/>
    <w:basedOn w:val="Normal"/>
    <w:link w:val="RodapChar"/>
    <w:rsid w:val="009C42FA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9C4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Rodrigo R de Oliveira</dc:creator>
  <cp:keywords/>
  <cp:lastModifiedBy>Rodrigo R de Oliveira</cp:lastModifiedBy>
  <cp:revision>2</cp:revision>
  <cp:lastPrinted>2026-09-16T18:13:00Z</cp:lastPrinted>
  <dcterms:created xsi:type="dcterms:W3CDTF">2026-09-16T18:14:00Z</dcterms:created>
  <dcterms:modified xsi:type="dcterms:W3CDTF">2026-09-16T18:14:00Z</dcterms:modified>
</cp:coreProperties>
</file>